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2BE90" w14:textId="77777777" w:rsidR="00B83A96" w:rsidRDefault="007B51DF">
      <w:pPr>
        <w:pStyle w:val="Title"/>
        <w:spacing w:before="68"/>
      </w:pPr>
      <w:r>
        <w:rPr>
          <w:noProof/>
        </w:rPr>
        <w:drawing>
          <wp:anchor distT="0" distB="0" distL="0" distR="0" simplePos="0" relativeHeight="15729152" behindDoc="0" locked="0" layoutInCell="1" allowOverlap="1" wp14:anchorId="05D13F61" wp14:editId="47791F57">
            <wp:simplePos x="0" y="0"/>
            <wp:positionH relativeFrom="page">
              <wp:posOffset>1151636</wp:posOffset>
            </wp:positionH>
            <wp:positionV relativeFrom="paragraph">
              <wp:posOffset>79756</wp:posOffset>
            </wp:positionV>
            <wp:extent cx="2867151" cy="70835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2867151" cy="708354"/>
                    </a:xfrm>
                    <a:prstGeom prst="rect">
                      <a:avLst/>
                    </a:prstGeom>
                  </pic:spPr>
                </pic:pic>
              </a:graphicData>
            </a:graphic>
          </wp:anchor>
        </w:drawing>
      </w:r>
      <w:r>
        <w:t>Identity</w:t>
      </w:r>
      <w:r>
        <w:rPr>
          <w:spacing w:val="-1"/>
        </w:rPr>
        <w:t xml:space="preserve"> </w:t>
      </w:r>
      <w:r>
        <w:t>and</w:t>
      </w:r>
      <w:r>
        <w:rPr>
          <w:spacing w:val="-1"/>
        </w:rPr>
        <w:t xml:space="preserve"> </w:t>
      </w:r>
      <w:r>
        <w:rPr>
          <w:spacing w:val="-2"/>
        </w:rPr>
        <w:t>Employment</w:t>
      </w:r>
    </w:p>
    <w:p w14:paraId="59459E69" w14:textId="77777777" w:rsidR="00B83A96" w:rsidRDefault="007B51DF">
      <w:pPr>
        <w:pStyle w:val="Title"/>
        <w:ind w:right="207"/>
      </w:pPr>
      <w:r>
        <w:t>Eligibility</w:t>
      </w:r>
      <w:r>
        <w:rPr>
          <w:spacing w:val="-4"/>
        </w:rPr>
        <w:t xml:space="preserve"> </w:t>
      </w:r>
      <w:r>
        <w:rPr>
          <w:spacing w:val="-2"/>
        </w:rPr>
        <w:t>Policy</w:t>
      </w:r>
    </w:p>
    <w:p w14:paraId="5EDB04F9" w14:textId="77777777" w:rsidR="00B83A96" w:rsidRDefault="00B83A96">
      <w:pPr>
        <w:pStyle w:val="BodyText"/>
        <w:ind w:left="0"/>
        <w:rPr>
          <w:sz w:val="20"/>
        </w:rPr>
      </w:pPr>
    </w:p>
    <w:p w14:paraId="135AB4B4" w14:textId="77777777" w:rsidR="00B83A96" w:rsidRDefault="00B83A96">
      <w:pPr>
        <w:pStyle w:val="BodyText"/>
        <w:ind w:left="0"/>
        <w:rPr>
          <w:sz w:val="20"/>
        </w:rPr>
      </w:pPr>
    </w:p>
    <w:p w14:paraId="19D3149E" w14:textId="77777777" w:rsidR="00B83A96" w:rsidRDefault="007B51DF">
      <w:pPr>
        <w:pStyle w:val="BodyText"/>
        <w:spacing w:before="103"/>
        <w:ind w:left="0"/>
        <w:rPr>
          <w:sz w:val="20"/>
        </w:rPr>
      </w:pPr>
      <w:r>
        <w:rPr>
          <w:noProof/>
        </w:rPr>
        <mc:AlternateContent>
          <mc:Choice Requires="wps">
            <w:drawing>
              <wp:anchor distT="0" distB="0" distL="0" distR="0" simplePos="0" relativeHeight="487587840" behindDoc="1" locked="0" layoutInCell="1" allowOverlap="1" wp14:anchorId="0CB421CD" wp14:editId="75817D1A">
                <wp:simplePos x="0" y="0"/>
                <wp:positionH relativeFrom="page">
                  <wp:posOffset>914400</wp:posOffset>
                </wp:positionH>
                <wp:positionV relativeFrom="paragraph">
                  <wp:posOffset>226764</wp:posOffset>
                </wp:positionV>
                <wp:extent cx="5943600" cy="1968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600" y="0"/>
                              </a:moveTo>
                              <a:lnTo>
                                <a:pt x="0" y="0"/>
                              </a:lnTo>
                              <a:lnTo>
                                <a:pt x="0" y="19684"/>
                              </a:lnTo>
                              <a:lnTo>
                                <a:pt x="5943600" y="19684"/>
                              </a:lnTo>
                              <a:lnTo>
                                <a:pt x="5943600" y="0"/>
                              </a:lnTo>
                              <a:close/>
                            </a:path>
                          </a:pathLst>
                        </a:custGeom>
                        <a:solidFill>
                          <a:srgbClr val="6FAC46"/>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B8DC0AE" id="Graphic 6" o:spid="_x0000_s1026" style="position:absolute;margin-left:1in;margin-top:17.85pt;width:468pt;height:1.5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" path="m5943600,l,,,19684r5943600,l5943600,xe" fillcolor="#6fac46" stroked="f">
                <v:path arrowok="t"/>
                <w10:wrap type="topAndBottom" anchorx="page"/>
              </v:shape>
            </w:pict>
          </mc:Fallback>
        </mc:AlternateContent>
      </w:r>
    </w:p>
    <w:p w14:paraId="51CA9FDA" w14:textId="2362E097" w:rsidR="00B83A96" w:rsidRDefault="007B51DF">
      <w:pPr>
        <w:pStyle w:val="Heading1"/>
        <w:spacing w:line="396" w:lineRule="auto"/>
        <w:ind w:right="4952"/>
      </w:pPr>
      <w:r>
        <w:t>Policy</w:t>
      </w:r>
      <w:r>
        <w:rPr>
          <w:spacing w:val="-13"/>
        </w:rPr>
        <w:t xml:space="preserve"> </w:t>
      </w:r>
      <w:r>
        <w:t>Number:</w:t>
      </w:r>
      <w:r>
        <w:rPr>
          <w:spacing w:val="35"/>
        </w:rPr>
        <w:t xml:space="preserve"> </w:t>
      </w:r>
      <w:r>
        <w:t>2016-10.27.</w:t>
      </w:r>
      <w:r w:rsidR="00EC6D3F">
        <w:t>1</w:t>
      </w:r>
      <w:r>
        <w:t>-IEEP Effective Date</w:t>
      </w:r>
    </w:p>
    <w:p w14:paraId="65635FB6" w14:textId="77777777" w:rsidR="00B83A96" w:rsidRDefault="007B51DF">
      <w:pPr>
        <w:pStyle w:val="BodyText"/>
        <w:spacing w:before="3"/>
      </w:pPr>
      <w:r>
        <w:t>This</w:t>
      </w:r>
      <w:r>
        <w:rPr>
          <w:spacing w:val="-2"/>
        </w:rPr>
        <w:t xml:space="preserve"> </w:t>
      </w:r>
      <w:r>
        <w:t>policy</w:t>
      </w:r>
      <w:r>
        <w:rPr>
          <w:spacing w:val="-2"/>
        </w:rPr>
        <w:t xml:space="preserve"> </w:t>
      </w:r>
      <w:r>
        <w:t>will</w:t>
      </w:r>
      <w:r>
        <w:rPr>
          <w:spacing w:val="-2"/>
        </w:rPr>
        <w:t xml:space="preserve"> </w:t>
      </w:r>
      <w:r>
        <w:t>go</w:t>
      </w:r>
      <w:r>
        <w:rPr>
          <w:spacing w:val="-1"/>
        </w:rPr>
        <w:t xml:space="preserve"> </w:t>
      </w:r>
      <w:r>
        <w:t>into</w:t>
      </w:r>
      <w:r>
        <w:rPr>
          <w:spacing w:val="-2"/>
        </w:rPr>
        <w:t xml:space="preserve"> </w:t>
      </w:r>
      <w:r>
        <w:t>effect</w:t>
      </w:r>
      <w:r>
        <w:rPr>
          <w:spacing w:val="-2"/>
        </w:rPr>
        <w:t xml:space="preserve"> </w:t>
      </w:r>
      <w:r>
        <w:t>immediately</w:t>
      </w:r>
      <w:r>
        <w:rPr>
          <w:spacing w:val="-2"/>
        </w:rPr>
        <w:t xml:space="preserve"> </w:t>
      </w:r>
      <w:r>
        <w:t>upon</w:t>
      </w:r>
      <w:r>
        <w:rPr>
          <w:spacing w:val="-1"/>
        </w:rPr>
        <w:t xml:space="preserve"> </w:t>
      </w:r>
      <w:r>
        <w:rPr>
          <w:spacing w:val="-2"/>
        </w:rPr>
        <w:t>passage.</w:t>
      </w:r>
    </w:p>
    <w:p w14:paraId="305BAA13" w14:textId="77777777" w:rsidR="00B83A96" w:rsidRDefault="007B51DF">
      <w:pPr>
        <w:pStyle w:val="Heading1"/>
        <w:spacing w:before="183"/>
      </w:pPr>
      <w:r>
        <w:rPr>
          <w:spacing w:val="-2"/>
        </w:rPr>
        <w:t>Purpose</w:t>
      </w:r>
    </w:p>
    <w:p w14:paraId="47987664" w14:textId="77777777" w:rsidR="00B83A96" w:rsidRDefault="007B51DF">
      <w:pPr>
        <w:pStyle w:val="BodyText"/>
        <w:spacing w:before="182" w:line="259" w:lineRule="auto"/>
        <w:ind w:left="119" w:right="214"/>
      </w:pPr>
      <w:r>
        <w:t>The Workforce Innovation and Opportunity Act Section 188 (a) (5) states: " Participation in programs and activities or receiving funds under this title shall be available to citizens and nationals</w:t>
      </w:r>
      <w:r>
        <w:rPr>
          <w:spacing w:val="-4"/>
        </w:rPr>
        <w:t xml:space="preserve"> </w:t>
      </w:r>
      <w:r>
        <w:t>of</w:t>
      </w:r>
      <w:r>
        <w:rPr>
          <w:spacing w:val="-5"/>
        </w:rPr>
        <w:t xml:space="preserve"> </w:t>
      </w:r>
      <w:r>
        <w:t>the</w:t>
      </w:r>
      <w:r>
        <w:rPr>
          <w:spacing w:val="-5"/>
        </w:rPr>
        <w:t xml:space="preserve"> </w:t>
      </w:r>
      <w:r>
        <w:t>United</w:t>
      </w:r>
      <w:r>
        <w:rPr>
          <w:spacing w:val="-4"/>
        </w:rPr>
        <w:t xml:space="preserve"> </w:t>
      </w:r>
      <w:r>
        <w:t>States,</w:t>
      </w:r>
      <w:r>
        <w:rPr>
          <w:spacing w:val="-4"/>
        </w:rPr>
        <w:t xml:space="preserve"> </w:t>
      </w:r>
      <w:r>
        <w:t>lawfully</w:t>
      </w:r>
      <w:r>
        <w:rPr>
          <w:spacing w:val="-4"/>
        </w:rPr>
        <w:t xml:space="preserve"> </w:t>
      </w:r>
      <w:r>
        <w:t>admitted</w:t>
      </w:r>
      <w:r>
        <w:rPr>
          <w:spacing w:val="-4"/>
        </w:rPr>
        <w:t xml:space="preserve"> </w:t>
      </w:r>
      <w:r>
        <w:t>permanent</w:t>
      </w:r>
      <w:r>
        <w:rPr>
          <w:spacing w:val="-4"/>
        </w:rPr>
        <w:t xml:space="preserve"> </w:t>
      </w:r>
      <w:r>
        <w:t>resident</w:t>
      </w:r>
      <w:r>
        <w:rPr>
          <w:spacing w:val="-4"/>
        </w:rPr>
        <w:t xml:space="preserve"> </w:t>
      </w:r>
      <w:r>
        <w:t>aliens,</w:t>
      </w:r>
      <w:r>
        <w:rPr>
          <w:spacing w:val="-2"/>
        </w:rPr>
        <w:t xml:space="preserve"> </w:t>
      </w:r>
      <w:r>
        <w:t>refugees,</w:t>
      </w:r>
      <w:r>
        <w:rPr>
          <w:spacing w:val="-4"/>
        </w:rPr>
        <w:t xml:space="preserve"> </w:t>
      </w:r>
      <w:r>
        <w:t>asylees, and</w:t>
      </w:r>
      <w:r>
        <w:rPr>
          <w:spacing w:val="-2"/>
        </w:rPr>
        <w:t xml:space="preserve"> </w:t>
      </w:r>
      <w:r>
        <w:t>parolees,</w:t>
      </w:r>
      <w:r>
        <w:rPr>
          <w:spacing w:val="-2"/>
        </w:rPr>
        <w:t xml:space="preserve"> </w:t>
      </w:r>
      <w:r>
        <w:t>and</w:t>
      </w:r>
      <w:r>
        <w:rPr>
          <w:spacing w:val="-2"/>
        </w:rPr>
        <w:t xml:space="preserve"> </w:t>
      </w:r>
      <w:r>
        <w:t>other</w:t>
      </w:r>
      <w:r>
        <w:rPr>
          <w:spacing w:val="-3"/>
        </w:rPr>
        <w:t xml:space="preserve"> </w:t>
      </w:r>
      <w:r>
        <w:t>immigrants</w:t>
      </w:r>
      <w:r>
        <w:rPr>
          <w:spacing w:val="-2"/>
        </w:rPr>
        <w:t xml:space="preserve"> </w:t>
      </w:r>
      <w:r>
        <w:t>authorized</w:t>
      </w:r>
      <w:r>
        <w:rPr>
          <w:spacing w:val="-2"/>
        </w:rPr>
        <w:t xml:space="preserve"> </w:t>
      </w:r>
      <w:r>
        <w:t>by the</w:t>
      </w:r>
      <w:r>
        <w:rPr>
          <w:spacing w:val="-3"/>
        </w:rPr>
        <w:t xml:space="preserve"> </w:t>
      </w:r>
      <w:r>
        <w:t>Attorney</w:t>
      </w:r>
      <w:r>
        <w:rPr>
          <w:spacing w:val="-2"/>
        </w:rPr>
        <w:t xml:space="preserve"> </w:t>
      </w:r>
      <w:r>
        <w:t>General</w:t>
      </w:r>
      <w:r>
        <w:rPr>
          <w:spacing w:val="-2"/>
        </w:rPr>
        <w:t xml:space="preserve"> </w:t>
      </w:r>
      <w:r>
        <w:t>to work</w:t>
      </w:r>
      <w:r>
        <w:rPr>
          <w:spacing w:val="-2"/>
        </w:rPr>
        <w:t xml:space="preserve"> </w:t>
      </w:r>
      <w:r>
        <w:t>in</w:t>
      </w:r>
      <w:r>
        <w:rPr>
          <w:spacing w:val="-2"/>
        </w:rPr>
        <w:t xml:space="preserve"> </w:t>
      </w:r>
      <w:r>
        <w:t>the</w:t>
      </w:r>
      <w:r>
        <w:rPr>
          <w:spacing w:val="-3"/>
        </w:rPr>
        <w:t xml:space="preserve"> </w:t>
      </w:r>
      <w:r>
        <w:t xml:space="preserve">United </w:t>
      </w:r>
      <w:r>
        <w:rPr>
          <w:spacing w:val="-2"/>
        </w:rPr>
        <w:t>States."</w:t>
      </w:r>
    </w:p>
    <w:p w14:paraId="3F02ABDA" w14:textId="7E9888DF" w:rsidR="00B83A96" w:rsidRDefault="007B51DF">
      <w:pPr>
        <w:pStyle w:val="BodyText"/>
        <w:spacing w:before="159" w:line="259" w:lineRule="auto"/>
        <w:ind w:left="119"/>
      </w:pPr>
      <w:r>
        <w:t>In order to participate in registered WIOA services, customers will be required to provide documentation that establishes identity and employment eligibility. The Ohio Department of Job and Family Services has established multiple options for providing proof of service eligibility in Workforce Innovation and Opportunity Act Policy Letter (WIOAPL)</w:t>
      </w:r>
      <w:r w:rsidR="00251289" w:rsidRPr="00251289">
        <w:rPr>
          <w:sz w:val="22"/>
          <w:szCs w:val="22"/>
        </w:rPr>
        <w:t xml:space="preserve"> </w:t>
      </w:r>
      <w:r w:rsidR="00251289" w:rsidRPr="00251289">
        <w:t>15-07.3</w:t>
      </w:r>
      <w:r>
        <w:t>. This policy defines processes</w:t>
      </w:r>
      <w:r>
        <w:rPr>
          <w:spacing w:val="-1"/>
        </w:rPr>
        <w:t xml:space="preserve"> </w:t>
      </w:r>
      <w:r>
        <w:t>and</w:t>
      </w:r>
      <w:r>
        <w:rPr>
          <w:spacing w:val="-3"/>
        </w:rPr>
        <w:t xml:space="preserve"> </w:t>
      </w:r>
      <w:r>
        <w:t>forms</w:t>
      </w:r>
      <w:r>
        <w:rPr>
          <w:spacing w:val="-3"/>
        </w:rPr>
        <w:t xml:space="preserve"> </w:t>
      </w:r>
      <w:r>
        <w:t>to</w:t>
      </w:r>
      <w:r>
        <w:rPr>
          <w:spacing w:val="-3"/>
        </w:rPr>
        <w:t xml:space="preserve"> </w:t>
      </w:r>
      <w:r>
        <w:t>be</w:t>
      </w:r>
      <w:r>
        <w:rPr>
          <w:spacing w:val="-4"/>
        </w:rPr>
        <w:t xml:space="preserve"> </w:t>
      </w:r>
      <w:r>
        <w:t>used</w:t>
      </w:r>
      <w:r>
        <w:rPr>
          <w:spacing w:val="-3"/>
        </w:rPr>
        <w:t xml:space="preserve"> </w:t>
      </w:r>
      <w:r>
        <w:t>when</w:t>
      </w:r>
      <w:r>
        <w:rPr>
          <w:spacing w:val="-3"/>
        </w:rPr>
        <w:t xml:space="preserve"> </w:t>
      </w:r>
      <w:r>
        <w:t>determining</w:t>
      </w:r>
      <w:r>
        <w:rPr>
          <w:spacing w:val="-1"/>
        </w:rPr>
        <w:t xml:space="preserve"> </w:t>
      </w:r>
      <w:r>
        <w:t>Authorization</w:t>
      </w:r>
      <w:r>
        <w:rPr>
          <w:spacing w:val="-3"/>
        </w:rPr>
        <w:t xml:space="preserve"> </w:t>
      </w:r>
      <w:r>
        <w:t>to</w:t>
      </w:r>
      <w:r>
        <w:rPr>
          <w:spacing w:val="-3"/>
        </w:rPr>
        <w:t xml:space="preserve"> </w:t>
      </w:r>
      <w:r>
        <w:t>Work</w:t>
      </w:r>
      <w:r>
        <w:rPr>
          <w:spacing w:val="-3"/>
        </w:rPr>
        <w:t xml:space="preserve"> </w:t>
      </w:r>
      <w:r>
        <w:t>as</w:t>
      </w:r>
      <w:r>
        <w:rPr>
          <w:spacing w:val="-3"/>
        </w:rPr>
        <w:t xml:space="preserve"> </w:t>
      </w:r>
      <w:r>
        <w:t>well</w:t>
      </w:r>
      <w:r>
        <w:rPr>
          <w:spacing w:val="-3"/>
        </w:rPr>
        <w:t xml:space="preserve"> </w:t>
      </w:r>
      <w:r>
        <w:t>as</w:t>
      </w:r>
      <w:r>
        <w:rPr>
          <w:spacing w:val="-3"/>
        </w:rPr>
        <w:t xml:space="preserve"> </w:t>
      </w:r>
      <w:r>
        <w:t>eligibility</w:t>
      </w:r>
      <w:r>
        <w:rPr>
          <w:spacing w:val="-3"/>
        </w:rPr>
        <w:t xml:space="preserve"> </w:t>
      </w:r>
      <w:r>
        <w:t xml:space="preserve">for Adult, Dislocated Worker and Youth programs. WIOAPL </w:t>
      </w:r>
      <w:r w:rsidR="00604EFC" w:rsidRPr="00604EFC">
        <w:t>15-07.3</w:t>
      </w:r>
      <w:r w:rsidR="00604EFC">
        <w:t xml:space="preserve"> </w:t>
      </w:r>
      <w:r>
        <w:t>will be used by Lucas County Area 9 as a guide for determining eligibility until</w:t>
      </w:r>
      <w:r>
        <w:rPr>
          <w:spacing w:val="-1"/>
        </w:rPr>
        <w:t xml:space="preserve"> </w:t>
      </w:r>
      <w:r>
        <w:t>modified at either the State or Federal levels or the</w:t>
      </w:r>
      <w:r>
        <w:rPr>
          <w:spacing w:val="-3"/>
        </w:rPr>
        <w:t xml:space="preserve"> </w:t>
      </w:r>
      <w:r>
        <w:t>Lucas</w:t>
      </w:r>
      <w:r>
        <w:rPr>
          <w:spacing w:val="-2"/>
        </w:rPr>
        <w:t xml:space="preserve"> </w:t>
      </w:r>
      <w:r>
        <w:t>County</w:t>
      </w:r>
      <w:r>
        <w:rPr>
          <w:spacing w:val="-2"/>
        </w:rPr>
        <w:t xml:space="preserve"> </w:t>
      </w:r>
      <w:r>
        <w:t>Workforce</w:t>
      </w:r>
      <w:r>
        <w:rPr>
          <w:spacing w:val="-3"/>
        </w:rPr>
        <w:t xml:space="preserve"> </w:t>
      </w:r>
      <w:r>
        <w:t>Development</w:t>
      </w:r>
      <w:r>
        <w:rPr>
          <w:spacing w:val="-2"/>
        </w:rPr>
        <w:t xml:space="preserve"> </w:t>
      </w:r>
      <w:r>
        <w:t>Board passes</w:t>
      </w:r>
      <w:r>
        <w:rPr>
          <w:spacing w:val="-2"/>
        </w:rPr>
        <w:t xml:space="preserve"> </w:t>
      </w:r>
      <w:r>
        <w:t>local</w:t>
      </w:r>
      <w:r>
        <w:rPr>
          <w:spacing w:val="-2"/>
        </w:rPr>
        <w:t xml:space="preserve"> </w:t>
      </w:r>
      <w:r>
        <w:t>policy</w:t>
      </w:r>
      <w:r>
        <w:rPr>
          <w:spacing w:val="-2"/>
        </w:rPr>
        <w:t xml:space="preserve"> </w:t>
      </w:r>
      <w:r>
        <w:t>that</w:t>
      </w:r>
      <w:r>
        <w:rPr>
          <w:spacing w:val="-2"/>
        </w:rPr>
        <w:t xml:space="preserve"> </w:t>
      </w:r>
      <w:r>
        <w:t>is</w:t>
      </w:r>
      <w:r>
        <w:rPr>
          <w:spacing w:val="-2"/>
        </w:rPr>
        <w:t xml:space="preserve"> </w:t>
      </w:r>
      <w:r>
        <w:t>more</w:t>
      </w:r>
      <w:r>
        <w:rPr>
          <w:spacing w:val="-3"/>
        </w:rPr>
        <w:t xml:space="preserve"> </w:t>
      </w:r>
      <w:r>
        <w:t>restrictive</w:t>
      </w:r>
      <w:r>
        <w:rPr>
          <w:spacing w:val="-3"/>
        </w:rPr>
        <w:t xml:space="preserve"> </w:t>
      </w:r>
      <w:r>
        <w:t>than existing policy.</w:t>
      </w:r>
    </w:p>
    <w:p w14:paraId="4283F8EE" w14:textId="7E24E953" w:rsidR="007D4854" w:rsidRPr="00E74461" w:rsidRDefault="007D4854">
      <w:pPr>
        <w:pStyle w:val="BodyText"/>
        <w:spacing w:before="159" w:line="259" w:lineRule="auto"/>
        <w:ind w:left="119"/>
        <w:rPr>
          <w:b/>
          <w:bCs/>
        </w:rPr>
      </w:pPr>
      <w:r w:rsidRPr="00E74461">
        <w:rPr>
          <w:b/>
          <w:bCs/>
        </w:rPr>
        <w:t>Background</w:t>
      </w:r>
    </w:p>
    <w:p w14:paraId="104FF9DB" w14:textId="4175C3C7" w:rsidR="007D4854" w:rsidRDefault="007D4854">
      <w:pPr>
        <w:pStyle w:val="BodyText"/>
        <w:spacing w:before="159" w:line="259" w:lineRule="auto"/>
        <w:ind w:left="119"/>
      </w:pPr>
      <w:r w:rsidRPr="007D4854">
        <w:t>WIOA establishes general and specific program eligibility criteria.  As recipients of WIOA Title I, Subtitle B funds, the ODJFS Office of Workforce Development (OWD), the local workforce development areas, and Comprehensive Case Management and Employment Program (CCMEP) lead agencies are required to maintain and report accurate program and financial information.</w:t>
      </w:r>
    </w:p>
    <w:p w14:paraId="5C729F37" w14:textId="5262E727" w:rsidR="007D4854" w:rsidRDefault="00082CBF">
      <w:pPr>
        <w:pStyle w:val="BodyText"/>
        <w:spacing w:before="159" w:line="259" w:lineRule="auto"/>
        <w:ind w:left="119"/>
        <w:rPr>
          <w:b/>
          <w:bCs/>
        </w:rPr>
      </w:pPr>
      <w:r w:rsidRPr="00082CBF">
        <w:rPr>
          <w:b/>
          <w:bCs/>
        </w:rPr>
        <w:t>Workforce Service Provider Requirements</w:t>
      </w:r>
    </w:p>
    <w:p w14:paraId="4D33ED06" w14:textId="2F3D5751" w:rsidR="009D0E79" w:rsidRDefault="009D0E79" w:rsidP="00082CBF">
      <w:pPr>
        <w:pStyle w:val="BodyText"/>
        <w:spacing w:before="159" w:line="259" w:lineRule="auto"/>
        <w:ind w:left="119"/>
      </w:pPr>
      <w:r>
        <w:t xml:space="preserve">As the designated lead agency for Ohio </w:t>
      </w:r>
      <w:r w:rsidR="00082CBF">
        <w:t xml:space="preserve">Workforce Area 9 </w:t>
      </w:r>
      <w:r>
        <w:t>(Lucas County</w:t>
      </w:r>
      <w:r w:rsidR="00991E22">
        <w:t xml:space="preserve"> or Area 9</w:t>
      </w:r>
      <w:r>
        <w:t xml:space="preserve">), the Lucas County Department of Workforce Development (LCDWD) will </w:t>
      </w:r>
      <w:r w:rsidRPr="00082CBF">
        <w:t xml:space="preserve">verify </w:t>
      </w:r>
      <w:r>
        <w:t xml:space="preserve">that all </w:t>
      </w:r>
      <w:r w:rsidR="00082CBF" w:rsidRPr="00082CBF">
        <w:t>WSPs</w:t>
      </w:r>
      <w:r>
        <w:t xml:space="preserve"> utilizing Area 9 WIOA funds verify participant </w:t>
      </w:r>
      <w:r w:rsidR="00082CBF" w:rsidRPr="00082CBF">
        <w:t xml:space="preserve">eligibility requirements through an examination of documents or by using one or more of the additional methods of source documentation </w:t>
      </w:r>
      <w:r>
        <w:t xml:space="preserve">as </w:t>
      </w:r>
      <w:r w:rsidR="00082CBF" w:rsidRPr="00082CBF">
        <w:t xml:space="preserve">described </w:t>
      </w:r>
      <w:r>
        <w:t xml:space="preserve">in the </w:t>
      </w:r>
      <w:r w:rsidRPr="00E74461">
        <w:rPr>
          <w:i/>
          <w:iCs/>
        </w:rPr>
        <w:t>Allowable Documentation</w:t>
      </w:r>
      <w:r>
        <w:t xml:space="preserve"> section of this </w:t>
      </w:r>
      <w:r w:rsidR="00991E22">
        <w:t>policy</w:t>
      </w:r>
      <w:r>
        <w:t>.</w:t>
      </w:r>
    </w:p>
    <w:p w14:paraId="3D101C72" w14:textId="3008A1A5" w:rsidR="00082CBF" w:rsidRPr="00082CBF" w:rsidRDefault="00082CBF" w:rsidP="006B58A9">
      <w:pPr>
        <w:pStyle w:val="BodyText"/>
        <w:spacing w:before="159" w:line="259" w:lineRule="auto"/>
        <w:ind w:left="119"/>
      </w:pPr>
      <w:r w:rsidRPr="00082CBF">
        <w:t xml:space="preserve">Documentation requirements to support WIOA adult and dislocated worker eligibility are tied to the level of services provided to the participant.  For adults and dislocated workers receiving only basic career services which do not trigger participation in the WIOA program, the </w:t>
      </w:r>
      <w:r w:rsidR="00991E22">
        <w:t>Area 9 WSPs</w:t>
      </w:r>
      <w:r w:rsidRPr="00082CBF">
        <w:t xml:space="preserve"> may accept information provided by these individuals at face value to complete the basic intake process without requiring source documentation.</w:t>
      </w:r>
      <w:r w:rsidR="006B58A9">
        <w:t xml:space="preserve"> </w:t>
      </w:r>
      <w:r w:rsidRPr="00082CBF">
        <w:t xml:space="preserve">Documentation requirements increase for </w:t>
      </w:r>
      <w:r w:rsidRPr="00082CBF">
        <w:lastRenderedPageBreak/>
        <w:t xml:space="preserve">participants who receive basic career services triggering participation, individualized career services, or training services.  </w:t>
      </w:r>
    </w:p>
    <w:p w14:paraId="59F064F1" w14:textId="1615F3BA" w:rsidR="009D0E79" w:rsidRPr="00E74461" w:rsidRDefault="009D0E79">
      <w:pPr>
        <w:pStyle w:val="BodyText"/>
        <w:spacing w:before="156" w:line="259" w:lineRule="auto"/>
        <w:rPr>
          <w:b/>
          <w:bCs/>
        </w:rPr>
      </w:pPr>
      <w:r w:rsidRPr="00E74461">
        <w:rPr>
          <w:b/>
          <w:bCs/>
        </w:rPr>
        <w:t>Allowable Documentation</w:t>
      </w:r>
    </w:p>
    <w:p w14:paraId="648795A5" w14:textId="010C8FAC" w:rsidR="00B83A96" w:rsidRDefault="007B51DF">
      <w:pPr>
        <w:pStyle w:val="BodyText"/>
        <w:spacing w:before="156" w:line="259" w:lineRule="auto"/>
      </w:pPr>
      <w:r>
        <w:t>A</w:t>
      </w:r>
      <w:r>
        <w:rPr>
          <w:spacing w:val="-4"/>
        </w:rPr>
        <w:t xml:space="preserve"> </w:t>
      </w:r>
      <w:r>
        <w:t>list</w:t>
      </w:r>
      <w:r>
        <w:rPr>
          <w:spacing w:val="-3"/>
        </w:rPr>
        <w:t xml:space="preserve"> </w:t>
      </w:r>
      <w:r>
        <w:t>of</w:t>
      </w:r>
      <w:r>
        <w:rPr>
          <w:spacing w:val="-4"/>
        </w:rPr>
        <w:t xml:space="preserve"> </w:t>
      </w:r>
      <w:r>
        <w:t>Allowable</w:t>
      </w:r>
      <w:r>
        <w:rPr>
          <w:spacing w:val="-4"/>
        </w:rPr>
        <w:t xml:space="preserve"> </w:t>
      </w:r>
      <w:r>
        <w:t>Source</w:t>
      </w:r>
      <w:r>
        <w:rPr>
          <w:spacing w:val="-4"/>
        </w:rPr>
        <w:t xml:space="preserve"> </w:t>
      </w:r>
      <w:r>
        <w:t>Documentation</w:t>
      </w:r>
      <w:r>
        <w:rPr>
          <w:spacing w:val="-3"/>
        </w:rPr>
        <w:t xml:space="preserve"> </w:t>
      </w:r>
      <w:r>
        <w:t>for</w:t>
      </w:r>
      <w:r>
        <w:rPr>
          <w:spacing w:val="-4"/>
        </w:rPr>
        <w:t xml:space="preserve"> </w:t>
      </w:r>
      <w:r>
        <w:t>WIOA</w:t>
      </w:r>
      <w:r>
        <w:rPr>
          <w:spacing w:val="-4"/>
        </w:rPr>
        <w:t xml:space="preserve"> </w:t>
      </w:r>
      <w:r>
        <w:t>Program</w:t>
      </w:r>
      <w:r>
        <w:rPr>
          <w:spacing w:val="-3"/>
        </w:rPr>
        <w:t xml:space="preserve"> </w:t>
      </w:r>
      <w:r>
        <w:t>Eligibility</w:t>
      </w:r>
      <w:r>
        <w:rPr>
          <w:spacing w:val="-3"/>
        </w:rPr>
        <w:t xml:space="preserve"> </w:t>
      </w:r>
      <w:r>
        <w:t>is</w:t>
      </w:r>
      <w:r>
        <w:rPr>
          <w:spacing w:val="-3"/>
        </w:rPr>
        <w:t xml:space="preserve"> </w:t>
      </w:r>
      <w:r>
        <w:t>provided</w:t>
      </w:r>
      <w:r>
        <w:rPr>
          <w:spacing w:val="-3"/>
        </w:rPr>
        <w:t xml:space="preserve"> </w:t>
      </w:r>
      <w:r>
        <w:t>by</w:t>
      </w:r>
      <w:r>
        <w:rPr>
          <w:spacing w:val="-3"/>
        </w:rPr>
        <w:t xml:space="preserve"> </w:t>
      </w:r>
      <w:r>
        <w:t xml:space="preserve">two </w:t>
      </w:r>
      <w:r>
        <w:rPr>
          <w:spacing w:val="-2"/>
        </w:rPr>
        <w:t>sources:</w:t>
      </w:r>
    </w:p>
    <w:p w14:paraId="4084D7C6" w14:textId="234ECE09" w:rsidR="00B83A96" w:rsidRDefault="007D4854">
      <w:pPr>
        <w:pStyle w:val="BodyText"/>
        <w:spacing w:before="160"/>
      </w:pPr>
      <w:r>
        <w:rPr>
          <w:spacing w:val="-2"/>
        </w:rPr>
        <w:t>Federal</w:t>
      </w:r>
      <w:r w:rsidR="007B51DF">
        <w:rPr>
          <w:spacing w:val="-2"/>
        </w:rPr>
        <w:t>:</w:t>
      </w:r>
    </w:p>
    <w:p w14:paraId="435691EF" w14:textId="77777777" w:rsidR="00B83A96" w:rsidRDefault="007B51DF">
      <w:pPr>
        <w:pStyle w:val="BodyText"/>
        <w:spacing w:before="183" w:line="259" w:lineRule="auto"/>
        <w:ind w:right="2586"/>
      </w:pPr>
      <w:r>
        <w:t xml:space="preserve">Form I-9, Lists of Acceptable Documents (see attached) or website: </w:t>
      </w:r>
      <w:r>
        <w:rPr>
          <w:color w:val="0562C1"/>
          <w:u w:val="single" w:color="0562C1"/>
        </w:rPr>
        <w:t>https</w:t>
      </w:r>
      <w:hyperlink r:id="rId8">
        <w:r>
          <w:rPr>
            <w:color w:val="0562C1"/>
            <w:u w:val="single" w:color="0562C1"/>
          </w:rPr>
          <w:t>://www.uscis.gov/sites/default/files/files/form/i-9.pdf</w:t>
        </w:r>
      </w:hyperlink>
      <w:r>
        <w:rPr>
          <w:color w:val="0562C1"/>
          <w:spacing w:val="-10"/>
        </w:rPr>
        <w:t xml:space="preserve"> </w:t>
      </w:r>
      <w:r>
        <w:t>(page</w:t>
      </w:r>
      <w:r>
        <w:rPr>
          <w:spacing w:val="-10"/>
        </w:rPr>
        <w:t xml:space="preserve"> </w:t>
      </w:r>
      <w:r>
        <w:t>9</w:t>
      </w:r>
      <w:r>
        <w:rPr>
          <w:spacing w:val="-9"/>
        </w:rPr>
        <w:t xml:space="preserve"> </w:t>
      </w:r>
      <w:r>
        <w:t>of</w:t>
      </w:r>
      <w:r>
        <w:rPr>
          <w:spacing w:val="-10"/>
        </w:rPr>
        <w:t xml:space="preserve"> </w:t>
      </w:r>
      <w:r>
        <w:t>9)</w:t>
      </w:r>
    </w:p>
    <w:p w14:paraId="6B2950D8" w14:textId="2142E632" w:rsidR="00B83A96" w:rsidRDefault="007D4854">
      <w:pPr>
        <w:pStyle w:val="BodyText"/>
        <w:spacing w:before="160"/>
      </w:pPr>
      <w:r>
        <w:rPr>
          <w:spacing w:val="-2"/>
        </w:rPr>
        <w:t>State of Ohio</w:t>
      </w:r>
      <w:r w:rsidR="007B51DF">
        <w:rPr>
          <w:spacing w:val="-2"/>
        </w:rPr>
        <w:t>:</w:t>
      </w:r>
    </w:p>
    <w:p w14:paraId="06806520" w14:textId="628BE401" w:rsidR="007B51DF" w:rsidRDefault="007B51DF">
      <w:pPr>
        <w:pStyle w:val="BodyText"/>
        <w:spacing w:before="182" w:line="259" w:lineRule="auto"/>
      </w:pPr>
      <w:r>
        <w:t>Allowable</w:t>
      </w:r>
      <w:r>
        <w:rPr>
          <w:spacing w:val="-4"/>
        </w:rPr>
        <w:t xml:space="preserve"> </w:t>
      </w:r>
      <w:r>
        <w:t>Source</w:t>
      </w:r>
      <w:r>
        <w:rPr>
          <w:spacing w:val="-4"/>
        </w:rPr>
        <w:t xml:space="preserve"> </w:t>
      </w:r>
      <w:r>
        <w:t>Documentation</w:t>
      </w:r>
      <w:r>
        <w:rPr>
          <w:spacing w:val="-1"/>
        </w:rPr>
        <w:t xml:space="preserve"> </w:t>
      </w:r>
      <w:r>
        <w:t>-</w:t>
      </w:r>
      <w:r>
        <w:rPr>
          <w:spacing w:val="-4"/>
        </w:rPr>
        <w:t xml:space="preserve"> </w:t>
      </w:r>
      <w:r>
        <w:t>Attachment</w:t>
      </w:r>
      <w:r>
        <w:rPr>
          <w:spacing w:val="-3"/>
        </w:rPr>
        <w:t xml:space="preserve"> </w:t>
      </w:r>
      <w:r>
        <w:t>A</w:t>
      </w:r>
      <w:r>
        <w:rPr>
          <w:spacing w:val="-4"/>
        </w:rPr>
        <w:t xml:space="preserve"> </w:t>
      </w:r>
      <w:r>
        <w:t>to</w:t>
      </w:r>
      <w:r>
        <w:rPr>
          <w:spacing w:val="-3"/>
        </w:rPr>
        <w:t xml:space="preserve"> </w:t>
      </w:r>
      <w:r>
        <w:t>WIOAPL</w:t>
      </w:r>
      <w:r>
        <w:rPr>
          <w:spacing w:val="-4"/>
        </w:rPr>
        <w:t xml:space="preserve"> </w:t>
      </w:r>
      <w:r w:rsidR="00604EFC" w:rsidRPr="00604EFC">
        <w:t>15-07.3</w:t>
      </w:r>
    </w:p>
    <w:p w14:paraId="2B0F5233" w14:textId="299B8CC2" w:rsidR="00B83A96" w:rsidRDefault="007B51DF">
      <w:pPr>
        <w:pStyle w:val="BodyText"/>
        <w:spacing w:before="182" w:line="259" w:lineRule="auto"/>
      </w:pPr>
      <w:r>
        <w:t xml:space="preserve"> </w:t>
      </w:r>
      <w:hyperlink r:id="rId9" w:history="1">
        <w:proofErr w:type="gramStart"/>
        <w:r w:rsidR="00251289" w:rsidRPr="00251289">
          <w:rPr>
            <w:rStyle w:val="Hyperlink"/>
          </w:rPr>
          <w:t>SourceDocumentationChart(</w:t>
        </w:r>
        <w:proofErr w:type="gramEnd"/>
        <w:r w:rsidR="00251289" w:rsidRPr="00251289">
          <w:rPr>
            <w:rStyle w:val="Hyperlink"/>
          </w:rPr>
          <w:t>1).pdf</w:t>
        </w:r>
      </w:hyperlink>
      <w:r w:rsidR="00251289" w:rsidRPr="00251289">
        <w:t xml:space="preserve"> </w:t>
      </w:r>
    </w:p>
    <w:p w14:paraId="01C3A07E" w14:textId="77777777" w:rsidR="006B58A9" w:rsidRPr="006B58A9" w:rsidRDefault="006B58A9" w:rsidP="006B58A9">
      <w:pPr>
        <w:pStyle w:val="BodyText"/>
        <w:spacing w:before="182"/>
        <w:rPr>
          <w:b/>
          <w:bCs/>
        </w:rPr>
      </w:pPr>
      <w:r w:rsidRPr="006B58A9">
        <w:rPr>
          <w:b/>
          <w:bCs/>
        </w:rPr>
        <w:t>Definitions</w:t>
      </w:r>
    </w:p>
    <w:p w14:paraId="48F0AC8F" w14:textId="77777777" w:rsidR="006B58A9" w:rsidRPr="006B58A9" w:rsidRDefault="006B58A9" w:rsidP="006B58A9">
      <w:pPr>
        <w:pStyle w:val="BodyText"/>
        <w:spacing w:before="182"/>
      </w:pPr>
      <w:r w:rsidRPr="006B58A9">
        <w:rPr>
          <w:u w:val="single"/>
        </w:rPr>
        <w:t>Comprehensive Case Management and Employment Program (CCMEP)</w:t>
      </w:r>
      <w:r w:rsidRPr="006B58A9">
        <w:t>: An integrated intervention program that combines Temporary Assistance for Needy Families and the WIOA youth program to provide employment and training services to individuals ages 14 through 24 years.</w:t>
      </w:r>
    </w:p>
    <w:p w14:paraId="5418B8ED" w14:textId="77777777" w:rsidR="006B58A9" w:rsidRPr="006B58A9" w:rsidRDefault="006B58A9" w:rsidP="006B58A9">
      <w:pPr>
        <w:pStyle w:val="BodyText"/>
        <w:spacing w:before="182"/>
      </w:pPr>
      <w:r w:rsidRPr="006B58A9">
        <w:rPr>
          <w:u w:val="single"/>
        </w:rPr>
        <w:t>Lead agency</w:t>
      </w:r>
      <w:r w:rsidRPr="006B58A9">
        <w:t>: The local participating agency designated by the board of county commissioners to administer CCMEP.</w:t>
      </w:r>
    </w:p>
    <w:p w14:paraId="3918E6A0" w14:textId="77777777" w:rsidR="006B58A9" w:rsidRPr="006B58A9" w:rsidRDefault="006B58A9" w:rsidP="006B58A9">
      <w:pPr>
        <w:pStyle w:val="BodyText"/>
        <w:spacing w:before="182"/>
      </w:pPr>
      <w:r w:rsidRPr="006B58A9">
        <w:rPr>
          <w:u w:val="single"/>
        </w:rPr>
        <w:t>Registration</w:t>
      </w:r>
      <w:r w:rsidRPr="006B58A9">
        <w:t>: The process of collecting information to support a determination of eligibility for the WIOA adult, dislocated worker, and youth programs.  This information may be collected through methods, including electronic data transfer, personal interview, or an individual's application.</w:t>
      </w:r>
    </w:p>
    <w:p w14:paraId="0B546D95" w14:textId="77777777" w:rsidR="006B58A9" w:rsidRPr="006B58A9" w:rsidRDefault="006B58A9" w:rsidP="006B58A9">
      <w:pPr>
        <w:pStyle w:val="BodyText"/>
        <w:spacing w:before="182"/>
      </w:pPr>
      <w:r w:rsidRPr="006B58A9">
        <w:rPr>
          <w:u w:val="single"/>
        </w:rPr>
        <w:t>Workforce Service Providers (WSPs)</w:t>
      </w:r>
      <w:r w:rsidRPr="006B58A9">
        <w:t>: Local areas, career services providers, youth program providers, and CCMEP lead agencies that carry out a workforce development activity or program. </w:t>
      </w:r>
    </w:p>
    <w:p w14:paraId="343C76F0" w14:textId="77777777" w:rsidR="006B58A9" w:rsidRDefault="006B58A9">
      <w:pPr>
        <w:pStyle w:val="BodyText"/>
        <w:spacing w:before="182" w:line="259" w:lineRule="auto"/>
      </w:pPr>
    </w:p>
    <w:p w14:paraId="6A3EAFF1" w14:textId="77777777" w:rsidR="006B58A9" w:rsidRDefault="006B58A9">
      <w:pPr>
        <w:pStyle w:val="BodyText"/>
        <w:spacing w:before="182" w:line="259" w:lineRule="auto"/>
      </w:pPr>
    </w:p>
    <w:sectPr w:rsidR="006B58A9">
      <w:headerReference w:type="default" r:id="rId10"/>
      <w:footerReference w:type="default" r:id="rId11"/>
      <w:type w:val="continuous"/>
      <w:pgSz w:w="12240" w:h="15840"/>
      <w:pgMar w:top="860" w:right="1340" w:bottom="1260" w:left="1320" w:header="0" w:footer="106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978E5" w14:textId="77777777" w:rsidR="007B51DF" w:rsidRDefault="007B51DF">
      <w:r>
        <w:separator/>
      </w:r>
    </w:p>
  </w:endnote>
  <w:endnote w:type="continuationSeparator" w:id="0">
    <w:p w14:paraId="03280506" w14:textId="77777777" w:rsidR="007B51DF" w:rsidRDefault="007B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24BD4" w14:textId="203C9D76" w:rsidR="00B83A96" w:rsidRDefault="007B51DF">
    <w:pPr>
      <w:pStyle w:val="BodyText"/>
      <w:spacing w:line="14" w:lineRule="auto"/>
      <w:ind w:left="0"/>
      <w:rPr>
        <w:sz w:val="20"/>
      </w:rPr>
    </w:pPr>
    <w:r>
      <w:rPr>
        <w:noProof/>
      </w:rPr>
      <mc:AlternateContent>
        <mc:Choice Requires="wps">
          <w:drawing>
            <wp:anchor distT="0" distB="0" distL="0" distR="0" simplePos="0" relativeHeight="251658752" behindDoc="1" locked="0" layoutInCell="1" allowOverlap="1" wp14:anchorId="1FE5EF4E" wp14:editId="25E118C2">
              <wp:simplePos x="0" y="0"/>
              <wp:positionH relativeFrom="page">
                <wp:posOffset>6267450</wp:posOffset>
              </wp:positionH>
              <wp:positionV relativeFrom="page">
                <wp:posOffset>9496425</wp:posOffset>
              </wp:positionV>
              <wp:extent cx="1276985" cy="3524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985" cy="352425"/>
                      </a:xfrm>
                      <a:prstGeom prst="rect">
                        <a:avLst/>
                      </a:prstGeom>
                    </wps:spPr>
                    <wps:txbx>
                      <w:txbxContent>
                        <w:p w14:paraId="303B6A12" w14:textId="2F13BDBE" w:rsidR="00B83A96" w:rsidRDefault="007B51DF">
                          <w:pPr>
                            <w:spacing w:before="19"/>
                            <w:ind w:left="20"/>
                            <w:rPr>
                              <w:spacing w:val="-4"/>
                              <w:sz w:val="16"/>
                            </w:rPr>
                          </w:pPr>
                          <w:r>
                            <w:rPr>
                              <w:rFonts w:ascii="Microsoft Sans Serif"/>
                              <w:sz w:val="16"/>
                            </w:rPr>
                            <w:t>Approved:</w:t>
                          </w:r>
                          <w:r>
                            <w:rPr>
                              <w:rFonts w:ascii="Microsoft Sans Serif"/>
                              <w:spacing w:val="-12"/>
                              <w:sz w:val="16"/>
                            </w:rPr>
                            <w:t xml:space="preserve"> </w:t>
                          </w:r>
                          <w:r w:rsidR="00E74461">
                            <w:rPr>
                              <w:sz w:val="16"/>
                            </w:rPr>
                            <w:t>6-18-2025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FE5EF4E" id="_x0000_t202" coordsize="21600,21600" o:spt="202" path="m,l,21600r21600,l21600,xe">
              <v:stroke joinstyle="miter"/>
              <v:path gradientshapeok="t" o:connecttype="rect"/>
            </v:shapetype>
            <v:shape id="Textbox 4" o:spid="_x0000_s1026" type="#_x0000_t202" style="position:absolute;margin-left:493.5pt;margin-top:747.75pt;width:100.55pt;height:27.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" filled="f" stroked="f">
              <v:textbox inset="0,0,0,0">
                <w:txbxContent>
                  <w:p w14:paraId="303B6A12" w14:textId="2F13BDBE" w:rsidR="00B83A96" w:rsidRDefault="007B51DF">
                    <w:pPr>
                      <w:spacing w:before="19"/>
                      <w:ind w:left="20"/>
                      <w:rPr>
                        <w:spacing w:val="-4"/>
                        <w:sz w:val="16"/>
                      </w:rPr>
                    </w:pPr>
                    <w:r>
                      <w:rPr>
                        <w:rFonts w:ascii="Microsoft Sans Serif"/>
                        <w:sz w:val="16"/>
                      </w:rPr>
                      <w:t>Approved:</w:t>
                    </w:r>
                    <w:r>
                      <w:rPr>
                        <w:rFonts w:ascii="Microsoft Sans Serif"/>
                        <w:spacing w:val="-12"/>
                        <w:sz w:val="16"/>
                      </w:rPr>
                      <w:t xml:space="preserve"> </w:t>
                    </w:r>
                    <w:r w:rsidR="00E74461">
                      <w:rPr>
                        <w:sz w:val="16"/>
                      </w:rPr>
                      <w:t>6-18-2025</w:t>
                    </w:r>
                  </w:p>
                </w:txbxContent>
              </v:textbox>
              <w10:wrap anchorx="page" anchory="page"/>
            </v:shape>
          </w:pict>
        </mc:Fallback>
      </mc:AlternateContent>
    </w:r>
    <w:r>
      <w:rPr>
        <w:noProof/>
      </w:rPr>
      <w:drawing>
        <wp:anchor distT="0" distB="0" distL="0" distR="0" simplePos="0" relativeHeight="251655680" behindDoc="1" locked="0" layoutInCell="1" allowOverlap="1" wp14:anchorId="32629CA1" wp14:editId="0C1FA6B5">
          <wp:simplePos x="0" y="0"/>
          <wp:positionH relativeFrom="page">
            <wp:posOffset>3165138</wp:posOffset>
          </wp:positionH>
          <wp:positionV relativeFrom="page">
            <wp:posOffset>9329614</wp:posOffset>
          </wp:positionV>
          <wp:extent cx="1880998" cy="48943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80998" cy="489433"/>
                  </a:xfrm>
                  <a:prstGeom prst="rect">
                    <a:avLst/>
                  </a:prstGeom>
                </pic:spPr>
              </pic:pic>
            </a:graphicData>
          </a:graphic>
        </wp:anchor>
      </w:drawing>
    </w:r>
    <w:r>
      <w:rPr>
        <w:noProof/>
      </w:rPr>
      <mc:AlternateContent>
        <mc:Choice Requires="wps">
          <w:drawing>
            <wp:anchor distT="0" distB="0" distL="0" distR="0" simplePos="0" relativeHeight="251656704" behindDoc="1" locked="0" layoutInCell="1" allowOverlap="1" wp14:anchorId="354B158B" wp14:editId="1C863A48">
              <wp:simplePos x="0" y="0"/>
              <wp:positionH relativeFrom="page">
                <wp:posOffset>1283335</wp:posOffset>
              </wp:positionH>
              <wp:positionV relativeFrom="page">
                <wp:posOffset>9201784</wp:posOffset>
              </wp:positionV>
              <wp:extent cx="5943600" cy="1968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599" y="0"/>
                            </a:moveTo>
                            <a:lnTo>
                              <a:pt x="0" y="0"/>
                            </a:lnTo>
                            <a:lnTo>
                              <a:pt x="0" y="19685"/>
                            </a:lnTo>
                            <a:lnTo>
                              <a:pt x="5943599" y="19685"/>
                            </a:lnTo>
                            <a:lnTo>
                              <a:pt x="5943599" y="0"/>
                            </a:lnTo>
                            <a:close/>
                          </a:path>
                        </a:pathLst>
                      </a:custGeom>
                      <a:solidFill>
                        <a:srgbClr val="6FAC46"/>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3D14C24E" id="Graphic 2" o:spid="_x0000_s1026" style="position:absolute;margin-left:101.05pt;margin-top:724.55pt;width:468pt;height:1.55pt;z-index:-15758848;visibility:visible;mso-wrap-style:square;mso-wrap-distance-left:0;mso-wrap-distance-top:0;mso-wrap-distance-right:0;mso-wrap-distance-bottom:0;mso-position-horizontal:absolute;mso-position-horizontal-relative:page;mso-position-vertical:absolute;mso-position-vertical-relative:page;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" path="m5943599,l,,,19685r5943599,l5943599,xe" fillcolor="#6fac46"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59F55" w14:textId="77777777" w:rsidR="007B51DF" w:rsidRDefault="007B51DF">
      <w:r>
        <w:separator/>
      </w:r>
    </w:p>
  </w:footnote>
  <w:footnote w:type="continuationSeparator" w:id="0">
    <w:p w14:paraId="655D7A3C" w14:textId="77777777" w:rsidR="007B51DF" w:rsidRDefault="007B5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CDCBC" w14:textId="5AA522D8" w:rsidR="005447D7" w:rsidRDefault="005447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96"/>
    <w:rsid w:val="000663FC"/>
    <w:rsid w:val="00082CBF"/>
    <w:rsid w:val="000A3E24"/>
    <w:rsid w:val="0010757C"/>
    <w:rsid w:val="0011044D"/>
    <w:rsid w:val="00113A5B"/>
    <w:rsid w:val="001606E1"/>
    <w:rsid w:val="00251289"/>
    <w:rsid w:val="0038743B"/>
    <w:rsid w:val="0048481E"/>
    <w:rsid w:val="005447D7"/>
    <w:rsid w:val="00604EFC"/>
    <w:rsid w:val="00631052"/>
    <w:rsid w:val="006B1CDC"/>
    <w:rsid w:val="006B58A9"/>
    <w:rsid w:val="007B1B70"/>
    <w:rsid w:val="007B51DF"/>
    <w:rsid w:val="007D4854"/>
    <w:rsid w:val="007F1172"/>
    <w:rsid w:val="0084572B"/>
    <w:rsid w:val="008F1220"/>
    <w:rsid w:val="00961828"/>
    <w:rsid w:val="00991E22"/>
    <w:rsid w:val="009D0E79"/>
    <w:rsid w:val="00A15CBD"/>
    <w:rsid w:val="00A4782A"/>
    <w:rsid w:val="00AB54F3"/>
    <w:rsid w:val="00B7301D"/>
    <w:rsid w:val="00B83A96"/>
    <w:rsid w:val="00C620CC"/>
    <w:rsid w:val="00D16B68"/>
    <w:rsid w:val="00D863D8"/>
    <w:rsid w:val="00E74461"/>
    <w:rsid w:val="00EB00D0"/>
    <w:rsid w:val="00EC1DCC"/>
    <w:rsid w:val="00EC6D3F"/>
    <w:rsid w:val="00F22417"/>
    <w:rsid w:val="00F95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306CAA80"/>
  <w15:docId w15:val="{BCE15830-75AC-4A63-A2D9-4B77E292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0"/>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Title">
    <w:name w:val="Title"/>
    <w:basedOn w:val="Normal"/>
    <w:uiPriority w:val="10"/>
    <w:qFormat/>
    <w:pPr>
      <w:spacing w:before="2"/>
      <w:ind w:right="204"/>
      <w:jc w:val="right"/>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B51DF"/>
    <w:rPr>
      <w:color w:val="0000FF" w:themeColor="hyperlink"/>
      <w:u w:val="single"/>
    </w:rPr>
  </w:style>
  <w:style w:type="character" w:styleId="UnresolvedMention">
    <w:name w:val="Unresolved Mention"/>
    <w:basedOn w:val="DefaultParagraphFont"/>
    <w:uiPriority w:val="99"/>
    <w:semiHidden/>
    <w:unhideWhenUsed/>
    <w:rsid w:val="007B51DF"/>
    <w:rPr>
      <w:color w:val="605E5C"/>
      <w:shd w:val="clear" w:color="auto" w:fill="E1DFDD"/>
    </w:rPr>
  </w:style>
  <w:style w:type="character" w:styleId="FollowedHyperlink">
    <w:name w:val="FollowedHyperlink"/>
    <w:basedOn w:val="DefaultParagraphFont"/>
    <w:uiPriority w:val="99"/>
    <w:semiHidden/>
    <w:unhideWhenUsed/>
    <w:rsid w:val="007B51DF"/>
    <w:rPr>
      <w:color w:val="800080" w:themeColor="followedHyperlink"/>
      <w:u w:val="single"/>
    </w:rPr>
  </w:style>
  <w:style w:type="paragraph" w:styleId="Header">
    <w:name w:val="header"/>
    <w:basedOn w:val="Normal"/>
    <w:link w:val="HeaderChar"/>
    <w:uiPriority w:val="99"/>
    <w:unhideWhenUsed/>
    <w:rsid w:val="007B51DF"/>
    <w:pPr>
      <w:tabs>
        <w:tab w:val="center" w:pos="4680"/>
        <w:tab w:val="right" w:pos="9360"/>
      </w:tabs>
    </w:pPr>
  </w:style>
  <w:style w:type="character" w:customStyle="1" w:styleId="HeaderChar">
    <w:name w:val="Header Char"/>
    <w:basedOn w:val="DefaultParagraphFont"/>
    <w:link w:val="Header"/>
    <w:uiPriority w:val="99"/>
    <w:rsid w:val="007B51DF"/>
    <w:rPr>
      <w:rFonts w:ascii="Times New Roman" w:eastAsia="Times New Roman" w:hAnsi="Times New Roman" w:cs="Times New Roman"/>
    </w:rPr>
  </w:style>
  <w:style w:type="paragraph" w:styleId="Footer">
    <w:name w:val="footer"/>
    <w:basedOn w:val="Normal"/>
    <w:link w:val="FooterChar"/>
    <w:uiPriority w:val="99"/>
    <w:unhideWhenUsed/>
    <w:rsid w:val="007B51DF"/>
    <w:pPr>
      <w:tabs>
        <w:tab w:val="center" w:pos="4680"/>
        <w:tab w:val="right" w:pos="9360"/>
      </w:tabs>
    </w:pPr>
  </w:style>
  <w:style w:type="character" w:customStyle="1" w:styleId="FooterChar">
    <w:name w:val="Footer Char"/>
    <w:basedOn w:val="DefaultParagraphFont"/>
    <w:link w:val="Footer"/>
    <w:uiPriority w:val="99"/>
    <w:rsid w:val="007B51DF"/>
    <w:rPr>
      <w:rFonts w:ascii="Times New Roman" w:eastAsia="Times New Roman" w:hAnsi="Times New Roman" w:cs="Times New Roman"/>
    </w:rPr>
  </w:style>
  <w:style w:type="paragraph" w:styleId="Revision">
    <w:name w:val="Revision"/>
    <w:hidden/>
    <w:uiPriority w:val="99"/>
    <w:semiHidden/>
    <w:rsid w:val="0025128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1069783">
      <w:bodyDiv w:val="1"/>
      <w:marLeft w:val="0"/>
      <w:marRight w:val="0"/>
      <w:marTop w:val="0"/>
      <w:marBottom w:val="0"/>
      <w:divBdr>
        <w:top w:val="none" w:sz="0" w:space="0" w:color="auto"/>
        <w:left w:val="none" w:sz="0" w:space="0" w:color="auto"/>
        <w:bottom w:val="none" w:sz="0" w:space="0" w:color="auto"/>
        <w:right w:val="none" w:sz="0" w:space="0" w:color="auto"/>
      </w:divBdr>
    </w:div>
    <w:div w:id="1685403159">
      <w:bodyDiv w:val="1"/>
      <w:marLeft w:val="0"/>
      <w:marRight w:val="0"/>
      <w:marTop w:val="0"/>
      <w:marBottom w:val="0"/>
      <w:divBdr>
        <w:top w:val="none" w:sz="0" w:space="0" w:color="auto"/>
        <w:left w:val="none" w:sz="0" w:space="0" w:color="auto"/>
        <w:bottom w:val="none" w:sz="0" w:space="0" w:color="auto"/>
        <w:right w:val="none" w:sz="0" w:space="0" w:color="auto"/>
      </w:divBdr>
    </w:div>
    <w:div w:id="1897813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scis.gov/sites/default/files/files/form/i-9.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cc02.safelinks.protection.outlook.com/?url=https%3A%2F%2Fdam.assets.ohio.gov%2Fimage%2Fupload%2Fjfs.ohio.gov%2Fowd%2FWorkforceProf%2FDocs%2FSourceDocumentationChart(1).pdf&amp;data=05%7C02%7Ccolson%40co.lucas.oh.us%7Cf374e077b0d4454ff0db08dd2f479859%7Cc8d29cb631ab44dca4cd7783caab53a2%7C0%7C0%7C638718706725579097%7CUnknown%7CTWFpbGZsb3d8eyJFbXB0eU1hcGkiOnRydWUsIlYiOiIwLjAuMDAwMCIsIlAiOiJXaW4zMiIsIkFOIjoiTWFpbCIsIldUIjoyfQ%3D%3D%7C0%7C%7C%7C&amp;sdata=eEBL4vewZ%2Fz7OXaOVptfGj%2BR%2BVeXXW3b7j%2FTVfh8bkI%3D&amp;reserved=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2CF6C-D293-4052-B660-E9951EA53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Lucas County</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Olson</dc:creator>
  <cp:lastModifiedBy>Chad Olson</cp:lastModifiedBy>
  <cp:revision>3</cp:revision>
  <cp:lastPrinted>2025-04-07T14:22:00Z</cp:lastPrinted>
  <dcterms:created xsi:type="dcterms:W3CDTF">2025-07-29T14:35:00Z</dcterms:created>
  <dcterms:modified xsi:type="dcterms:W3CDTF">2025-07-29T14:37:00Z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2024-12-30T00:00:00Z</vt:filetime>
  </property>
</Properties>
</file>